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4AB4" w14:textId="77777777" w:rsidR="005E724E" w:rsidRPr="005E724E" w:rsidRDefault="005E724E" w:rsidP="005E724E">
      <w:pPr>
        <w:jc w:val="center"/>
        <w:rPr>
          <w:rFonts w:ascii="Cambria" w:hAnsi="Cambria"/>
          <w:b/>
          <w:u w:val="single"/>
        </w:rPr>
      </w:pPr>
      <w:r w:rsidRPr="005E724E">
        <w:rPr>
          <w:rFonts w:ascii="Cambria" w:hAnsi="Cambria"/>
          <w:b/>
          <w:u w:val="single"/>
        </w:rPr>
        <w:t>Disposition Table</w:t>
      </w:r>
    </w:p>
    <w:tbl>
      <w:tblPr>
        <w:tblStyle w:val="TableGrid"/>
        <w:tblW w:w="11605" w:type="dxa"/>
        <w:jc w:val="center"/>
        <w:tblLook w:val="04A0" w:firstRow="1" w:lastRow="0" w:firstColumn="1" w:lastColumn="0" w:noHBand="0" w:noVBand="1"/>
      </w:tblPr>
      <w:tblGrid>
        <w:gridCol w:w="1165"/>
        <w:gridCol w:w="1170"/>
        <w:gridCol w:w="4860"/>
        <w:gridCol w:w="4410"/>
      </w:tblGrid>
      <w:tr w:rsidR="00DC429A" w:rsidRPr="005E724E" w14:paraId="30521914" w14:textId="77777777" w:rsidTr="00CC6813">
        <w:trPr>
          <w:jc w:val="center"/>
        </w:trPr>
        <w:tc>
          <w:tcPr>
            <w:tcW w:w="1165" w:type="dxa"/>
            <w:vAlign w:val="center"/>
          </w:tcPr>
          <w:p w14:paraId="16F2AABE" w14:textId="77777777" w:rsidR="00DC429A" w:rsidRPr="005E724E" w:rsidRDefault="00DC429A" w:rsidP="005E724E">
            <w:pPr>
              <w:jc w:val="center"/>
              <w:rPr>
                <w:rFonts w:ascii="Cambria" w:hAnsi="Cambria"/>
                <w:b/>
              </w:rPr>
            </w:pPr>
            <w:r w:rsidRPr="005E724E">
              <w:rPr>
                <w:rFonts w:ascii="Cambria" w:hAnsi="Cambria"/>
                <w:b/>
              </w:rPr>
              <w:t>Name of SAI</w:t>
            </w:r>
          </w:p>
        </w:tc>
        <w:tc>
          <w:tcPr>
            <w:tcW w:w="1170" w:type="dxa"/>
            <w:vAlign w:val="center"/>
          </w:tcPr>
          <w:p w14:paraId="768CFC35" w14:textId="77777777" w:rsidR="00DC429A" w:rsidRPr="005E724E" w:rsidRDefault="00DC429A" w:rsidP="005E724E">
            <w:pPr>
              <w:jc w:val="center"/>
              <w:rPr>
                <w:rFonts w:ascii="Cambria" w:hAnsi="Cambria"/>
                <w:b/>
              </w:rPr>
            </w:pPr>
            <w:r w:rsidRPr="005E724E">
              <w:rPr>
                <w:rFonts w:ascii="Cambria" w:hAnsi="Cambria"/>
                <w:b/>
              </w:rPr>
              <w:t xml:space="preserve">Section in </w:t>
            </w:r>
            <w:proofErr w:type="spellStart"/>
            <w:r w:rsidRPr="005E724E">
              <w:rPr>
                <w:rFonts w:ascii="Cambria" w:hAnsi="Cambria"/>
                <w:b/>
              </w:rPr>
              <w:t>ToR</w:t>
            </w:r>
            <w:proofErr w:type="spellEnd"/>
          </w:p>
        </w:tc>
        <w:tc>
          <w:tcPr>
            <w:tcW w:w="4860" w:type="dxa"/>
            <w:vAlign w:val="center"/>
          </w:tcPr>
          <w:p w14:paraId="19B47E82" w14:textId="77777777" w:rsidR="00DC429A" w:rsidRPr="005E724E" w:rsidRDefault="00DC429A" w:rsidP="005E724E">
            <w:pPr>
              <w:jc w:val="center"/>
              <w:rPr>
                <w:rFonts w:ascii="Cambria" w:hAnsi="Cambria"/>
                <w:b/>
              </w:rPr>
            </w:pPr>
            <w:r w:rsidRPr="005E724E">
              <w:rPr>
                <w:rFonts w:ascii="Cambria" w:hAnsi="Cambria"/>
                <w:b/>
              </w:rPr>
              <w:t>Comment</w:t>
            </w:r>
          </w:p>
        </w:tc>
        <w:tc>
          <w:tcPr>
            <w:tcW w:w="4410" w:type="dxa"/>
            <w:vAlign w:val="center"/>
          </w:tcPr>
          <w:p w14:paraId="3C660171" w14:textId="77777777" w:rsidR="00DC429A" w:rsidRPr="005E724E" w:rsidRDefault="00DC429A" w:rsidP="005E724E">
            <w:pPr>
              <w:jc w:val="center"/>
              <w:rPr>
                <w:rFonts w:ascii="Cambria" w:hAnsi="Cambria"/>
                <w:b/>
              </w:rPr>
            </w:pPr>
            <w:r w:rsidRPr="005E724E">
              <w:rPr>
                <w:rFonts w:ascii="Cambria" w:hAnsi="Cambria"/>
                <w:b/>
              </w:rPr>
              <w:t>Action taken</w:t>
            </w:r>
          </w:p>
        </w:tc>
      </w:tr>
      <w:tr w:rsidR="00DC429A" w:rsidRPr="005E724E" w14:paraId="39800AFE" w14:textId="77777777" w:rsidTr="00CC6813">
        <w:trPr>
          <w:jc w:val="center"/>
        </w:trPr>
        <w:tc>
          <w:tcPr>
            <w:tcW w:w="1165" w:type="dxa"/>
            <w:vAlign w:val="center"/>
          </w:tcPr>
          <w:p w14:paraId="5898E39D" w14:textId="77777777" w:rsidR="00DC429A" w:rsidRPr="005E724E" w:rsidRDefault="00DC429A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Hungary</w:t>
            </w:r>
          </w:p>
          <w:p w14:paraId="7C60E595" w14:textId="77777777" w:rsidR="00DC429A" w:rsidRPr="005E724E" w:rsidRDefault="00DC429A" w:rsidP="005E724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14:paraId="2C548662" w14:textId="77777777" w:rsidR="00DC429A" w:rsidRPr="005E724E" w:rsidRDefault="00DC429A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9.2.1  and 13.4</w:t>
            </w:r>
          </w:p>
        </w:tc>
        <w:tc>
          <w:tcPr>
            <w:tcW w:w="4860" w:type="dxa"/>
            <w:vAlign w:val="center"/>
          </w:tcPr>
          <w:p w14:paraId="41B41DD1" w14:textId="488B4EF1" w:rsidR="00DC429A" w:rsidRPr="005E724E" w:rsidRDefault="00BD004B" w:rsidP="00BD004B">
            <w:pPr>
              <w:pStyle w:val="CommentText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DC429A" w:rsidRPr="005E724E">
              <w:rPr>
                <w:rFonts w:ascii="Cambria" w:hAnsi="Cambria"/>
                <w:sz w:val="22"/>
                <w:szCs w:val="22"/>
              </w:rPr>
              <w:t>onside</w:t>
            </w:r>
            <w:r>
              <w:rPr>
                <w:rFonts w:ascii="Cambria" w:hAnsi="Cambria"/>
                <w:sz w:val="22"/>
                <w:szCs w:val="22"/>
              </w:rPr>
              <w:t>r</w:t>
            </w:r>
            <w:r w:rsidR="00DC429A" w:rsidRPr="005E724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C429A" w:rsidRPr="00755EC3">
              <w:rPr>
                <w:rFonts w:ascii="Cambria" w:hAnsi="Cambria"/>
                <w:sz w:val="22"/>
                <w:szCs w:val="22"/>
                <w:highlight w:val="yellow"/>
              </w:rPr>
              <w:t>more time (3-4 weeks</w:t>
            </w:r>
            <w:r w:rsidR="00DC429A" w:rsidRPr="00456646">
              <w:rPr>
                <w:rFonts w:ascii="Cambria" w:hAnsi="Cambria"/>
                <w:sz w:val="22"/>
                <w:szCs w:val="22"/>
                <w:highlight w:val="yellow"/>
              </w:rPr>
              <w:t>)</w:t>
            </w:r>
            <w:r w:rsidR="00DC429A" w:rsidRPr="005E724E">
              <w:rPr>
                <w:rFonts w:ascii="Cambria" w:hAnsi="Cambria"/>
                <w:sz w:val="22"/>
                <w:szCs w:val="22"/>
              </w:rPr>
              <w:t xml:space="preserve"> to allow the SAI representative to obta</w:t>
            </w:r>
            <w:r>
              <w:rPr>
                <w:rFonts w:ascii="Cambria" w:hAnsi="Cambria"/>
                <w:sz w:val="22"/>
                <w:szCs w:val="22"/>
              </w:rPr>
              <w:t>in mandate from the Head of SAI.</w:t>
            </w:r>
          </w:p>
        </w:tc>
        <w:tc>
          <w:tcPr>
            <w:tcW w:w="4410" w:type="dxa"/>
            <w:vAlign w:val="center"/>
          </w:tcPr>
          <w:p w14:paraId="35E8A7F4" w14:textId="016C1F35" w:rsidR="00DC429A" w:rsidRPr="005E724E" w:rsidRDefault="00BC5935" w:rsidP="00BC59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9.2.1 </w:t>
            </w:r>
            <w:proofErr w:type="gramStart"/>
            <w:r>
              <w:rPr>
                <w:rFonts w:ascii="Cambria" w:hAnsi="Cambria"/>
              </w:rPr>
              <w:t>amended</w:t>
            </w:r>
            <w:proofErr w:type="gramEnd"/>
            <w:r>
              <w:rPr>
                <w:rFonts w:ascii="Cambria" w:hAnsi="Cambria"/>
              </w:rPr>
              <w:t xml:space="preserve"> to indicate </w:t>
            </w:r>
            <w:r w:rsidR="00ED00BE">
              <w:rPr>
                <w:rFonts w:ascii="Cambria" w:hAnsi="Cambria"/>
              </w:rPr>
              <w:t>at least</w:t>
            </w:r>
            <w:r>
              <w:rPr>
                <w:rFonts w:ascii="Cambria" w:hAnsi="Cambria"/>
              </w:rPr>
              <w:t xml:space="preserve"> “four weeks before the meeting.”</w:t>
            </w:r>
          </w:p>
        </w:tc>
      </w:tr>
      <w:tr w:rsidR="005E724E" w:rsidRPr="005E724E" w14:paraId="678B7C24" w14:textId="77777777" w:rsidTr="00CC6813">
        <w:trPr>
          <w:jc w:val="center"/>
        </w:trPr>
        <w:tc>
          <w:tcPr>
            <w:tcW w:w="1165" w:type="dxa"/>
            <w:vMerge w:val="restart"/>
            <w:vAlign w:val="center"/>
          </w:tcPr>
          <w:p w14:paraId="00327377" w14:textId="77777777" w:rsidR="005E724E" w:rsidRPr="005E724E" w:rsidRDefault="005E724E" w:rsidP="005E724E">
            <w:pPr>
              <w:pStyle w:val="CommentText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>Australia</w:t>
            </w:r>
          </w:p>
        </w:tc>
        <w:tc>
          <w:tcPr>
            <w:tcW w:w="1170" w:type="dxa"/>
            <w:vAlign w:val="center"/>
          </w:tcPr>
          <w:p w14:paraId="2A8450C2" w14:textId="77777777" w:rsidR="005E724E" w:rsidRPr="005E724E" w:rsidRDefault="005E724E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8.1</w:t>
            </w:r>
          </w:p>
        </w:tc>
        <w:tc>
          <w:tcPr>
            <w:tcW w:w="4860" w:type="dxa"/>
            <w:vAlign w:val="center"/>
          </w:tcPr>
          <w:p w14:paraId="311AE29E" w14:textId="784FC6F1" w:rsidR="005E724E" w:rsidRPr="005E724E" w:rsidRDefault="00755EC3" w:rsidP="00755EC3">
            <w:pPr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lang w:val="en-US"/>
              </w:rPr>
              <w:t>R</w:t>
            </w:r>
            <w:r w:rsidR="005E724E" w:rsidRPr="005E724E">
              <w:rPr>
                <w:rFonts w:ascii="Cambria" w:eastAsia="Times New Roman" w:hAnsi="Cambria" w:cs="Times New Roman"/>
                <w:lang w:val="en-US"/>
              </w:rPr>
              <w:t>eference in para 8.1 to paragraphs 9.3.11 to 9.3.18 which provides more detail of the application of the statement of intent</w:t>
            </w:r>
          </w:p>
        </w:tc>
        <w:tc>
          <w:tcPr>
            <w:tcW w:w="4410" w:type="dxa"/>
            <w:vAlign w:val="center"/>
          </w:tcPr>
          <w:p w14:paraId="6F749BD7" w14:textId="77777777" w:rsidR="005E724E" w:rsidRPr="005E724E" w:rsidRDefault="005E724E" w:rsidP="005E724E">
            <w:pPr>
              <w:jc w:val="both"/>
              <w:rPr>
                <w:rFonts w:ascii="Cambria" w:hAnsi="Cambria"/>
                <w:lang w:val="en-US"/>
              </w:rPr>
            </w:pPr>
            <w:r w:rsidRPr="005E724E">
              <w:rPr>
                <w:rFonts w:ascii="Cambria" w:hAnsi="Cambria"/>
                <w:lang w:val="en-IN"/>
              </w:rPr>
              <w:t xml:space="preserve">Inserted in 8.1, the </w:t>
            </w:r>
            <w:r w:rsidRPr="005E724E">
              <w:rPr>
                <w:rFonts w:ascii="Cambria" w:hAnsi="Cambria"/>
              </w:rPr>
              <w:t>line “Provisions 9.3.10</w:t>
            </w:r>
            <w:r w:rsidRPr="005E724E">
              <w:rPr>
                <w:rFonts w:ascii="Cambria" w:hAnsi="Cambria"/>
                <w:lang w:val="en-IN"/>
              </w:rPr>
              <w:t xml:space="preserve"> to 9.3.18 provides </w:t>
            </w:r>
            <w:r w:rsidRPr="005E724E">
              <w:rPr>
                <w:rFonts w:ascii="Cambria" w:hAnsi="Cambria"/>
              </w:rPr>
              <w:t xml:space="preserve">for </w:t>
            </w:r>
            <w:r w:rsidRPr="005E724E">
              <w:rPr>
                <w:rFonts w:ascii="Cambria" w:hAnsi="Cambria"/>
                <w:lang w:val="en-IN"/>
              </w:rPr>
              <w:t xml:space="preserve">more detail </w:t>
            </w:r>
            <w:r w:rsidRPr="005E724E">
              <w:rPr>
                <w:rFonts w:ascii="Cambria" w:hAnsi="Cambria"/>
              </w:rPr>
              <w:t>on this aspect.</w:t>
            </w:r>
            <w:r w:rsidRPr="005E724E">
              <w:rPr>
                <w:rFonts w:ascii="Cambria" w:hAnsi="Cambria"/>
                <w:lang w:val="en-IN"/>
              </w:rPr>
              <w:t xml:space="preserve">” </w:t>
            </w:r>
          </w:p>
        </w:tc>
      </w:tr>
      <w:tr w:rsidR="005E724E" w:rsidRPr="005E724E" w14:paraId="7DE4AE78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6D2666CA" w14:textId="77777777" w:rsidR="005E724E" w:rsidRPr="005E724E" w:rsidRDefault="005E724E" w:rsidP="005E724E">
            <w:pPr>
              <w:pStyle w:val="CommentText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5423AEE" w14:textId="77777777" w:rsidR="005E724E" w:rsidRPr="005E724E" w:rsidRDefault="005E724E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8.2</w:t>
            </w:r>
          </w:p>
        </w:tc>
        <w:tc>
          <w:tcPr>
            <w:tcW w:w="4860" w:type="dxa"/>
            <w:vAlign w:val="center"/>
          </w:tcPr>
          <w:p w14:paraId="08DBBDDE" w14:textId="26EB8FC3" w:rsidR="005E724E" w:rsidRPr="005E724E" w:rsidRDefault="00BD004B" w:rsidP="002E5A28">
            <w:pPr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lang w:val="en-US"/>
              </w:rPr>
              <w:t xml:space="preserve">Include </w:t>
            </w:r>
            <w:r w:rsidR="005E724E" w:rsidRPr="005E724E">
              <w:rPr>
                <w:rFonts w:ascii="Cambria" w:eastAsia="Times New Roman" w:hAnsi="Cambria" w:cs="Times New Roman"/>
                <w:lang w:val="en-US"/>
              </w:rPr>
              <w:t xml:space="preserve">more information on </w:t>
            </w:r>
            <w:r w:rsidR="005E724E" w:rsidRPr="00456646">
              <w:rPr>
                <w:rFonts w:ascii="Cambria" w:eastAsia="Times New Roman" w:hAnsi="Cambria" w:cs="Times New Roman"/>
                <w:highlight w:val="yellow"/>
                <w:lang w:val="en-US"/>
              </w:rPr>
              <w:t>what this communication may look like in practice.</w:t>
            </w:r>
            <w:r w:rsidR="005E724E" w:rsidRPr="005E724E">
              <w:rPr>
                <w:rFonts w:ascii="Cambria" w:eastAsia="Times New Roman" w:hAnsi="Cambria" w:cs="Times New Roman"/>
                <w:lang w:val="en-US"/>
              </w:rPr>
              <w:t xml:space="preserve"> For example: The value-add of WGITA’s observers from AFROSAI-E, ISACA, and SAI Brunei Darussalam</w:t>
            </w:r>
          </w:p>
        </w:tc>
        <w:tc>
          <w:tcPr>
            <w:tcW w:w="4410" w:type="dxa"/>
            <w:vAlign w:val="center"/>
          </w:tcPr>
          <w:p w14:paraId="710F956F" w14:textId="77777777" w:rsidR="005E724E" w:rsidRPr="005E724E" w:rsidRDefault="005E724E" w:rsidP="005E724E">
            <w:pPr>
              <w:jc w:val="both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Inserted in 8.2, the line “For instance, WGITA is benefitted by expert views and insights of AFROSAI-E and ISACA, who are observers of WGITA, in the annual meetings and projects.”</w:t>
            </w:r>
          </w:p>
        </w:tc>
      </w:tr>
      <w:tr w:rsidR="005E724E" w:rsidRPr="005E724E" w14:paraId="02E5D44F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49062834" w14:textId="77777777" w:rsidR="005E724E" w:rsidRPr="005E724E" w:rsidRDefault="005E724E" w:rsidP="005E724E">
            <w:pPr>
              <w:pStyle w:val="CommentText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C41416A" w14:textId="77777777" w:rsidR="005E724E" w:rsidRPr="005E724E" w:rsidRDefault="005E724E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5</w:t>
            </w:r>
          </w:p>
        </w:tc>
        <w:tc>
          <w:tcPr>
            <w:tcW w:w="4860" w:type="dxa"/>
            <w:vAlign w:val="center"/>
          </w:tcPr>
          <w:p w14:paraId="3E772FE9" w14:textId="723DAAED" w:rsidR="005E724E" w:rsidRPr="005E724E" w:rsidRDefault="00BD004B" w:rsidP="00BD004B">
            <w:pPr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highlight w:val="yellow"/>
                <w:lang w:val="en-US"/>
              </w:rPr>
              <w:t>P</w:t>
            </w:r>
            <w:r w:rsidR="005E724E" w:rsidRPr="00456646">
              <w:rPr>
                <w:rFonts w:ascii="Cambria" w:eastAsia="Times New Roman" w:hAnsi="Cambria" w:cs="Times New Roman"/>
                <w:highlight w:val="yellow"/>
                <w:lang w:val="en-US"/>
              </w:rPr>
              <w:t>rocess for observer application</w:t>
            </w:r>
            <w:r>
              <w:rPr>
                <w:rFonts w:ascii="Cambria" w:eastAsia="Times New Roman" w:hAnsi="Cambria" w:cs="Times New Roman"/>
                <w:lang w:val="en-US"/>
              </w:rPr>
              <w:t xml:space="preserve"> and acceptance should be </w:t>
            </w:r>
            <w:r w:rsidR="005E724E" w:rsidRPr="005E724E">
              <w:rPr>
                <w:rFonts w:ascii="Cambria" w:eastAsia="Times New Roman" w:hAnsi="Cambria" w:cs="Times New Roman"/>
                <w:lang w:val="en-US"/>
              </w:rPr>
              <w:t xml:space="preserve">detailed in the </w:t>
            </w:r>
            <w:proofErr w:type="spellStart"/>
            <w:r w:rsidR="005E724E" w:rsidRPr="005E724E">
              <w:rPr>
                <w:rFonts w:ascii="Cambria" w:eastAsia="Times New Roman" w:hAnsi="Cambria" w:cs="Times New Roman"/>
                <w:lang w:val="en-US"/>
              </w:rPr>
              <w:t>ToR</w:t>
            </w:r>
            <w:proofErr w:type="spellEnd"/>
            <w:r w:rsidR="005E724E" w:rsidRPr="005E724E">
              <w:rPr>
                <w:rFonts w:ascii="Cambria" w:eastAsia="Times New Roman" w:hAnsi="Cambria" w:cs="Times New Roman"/>
                <w:lang w:val="en-US"/>
              </w:rPr>
              <w:t xml:space="preserve">, as well as the status of observers. For example, the INTOSAI statues </w:t>
            </w:r>
            <w:proofErr w:type="spellStart"/>
            <w:r w:rsidR="005E724E" w:rsidRPr="005E724E">
              <w:rPr>
                <w:rFonts w:ascii="Cambria" w:eastAsia="Times New Roman" w:hAnsi="Cambria" w:cs="Times New Roman"/>
                <w:lang w:val="en-US"/>
              </w:rPr>
              <w:t>recognises</w:t>
            </w:r>
            <w:proofErr w:type="spellEnd"/>
            <w:r w:rsidR="005E724E" w:rsidRPr="005E724E">
              <w:rPr>
                <w:rFonts w:ascii="Cambria" w:eastAsia="Times New Roman" w:hAnsi="Cambria" w:cs="Times New Roman"/>
                <w:lang w:val="en-US"/>
              </w:rPr>
              <w:t xml:space="preserve"> associate and affiliate members and outlines any limitation to their participation and involvement in INTOSAI with this membership type.</w:t>
            </w:r>
          </w:p>
        </w:tc>
        <w:tc>
          <w:tcPr>
            <w:tcW w:w="4410" w:type="dxa"/>
            <w:vAlign w:val="center"/>
          </w:tcPr>
          <w:p w14:paraId="7D75E485" w14:textId="77777777" w:rsidR="005E724E" w:rsidRPr="005E724E" w:rsidRDefault="005E724E" w:rsidP="005E724E">
            <w:pPr>
              <w:jc w:val="both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Added a new section 5.6 as follows</w:t>
            </w:r>
          </w:p>
          <w:p w14:paraId="2ECCAB38" w14:textId="77777777" w:rsidR="005E724E" w:rsidRPr="005E724E" w:rsidRDefault="005E724E" w:rsidP="005E724E">
            <w:pPr>
              <w:jc w:val="both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 xml:space="preserve">“Observers may be admitted to the WGITA on request made to the WGITA chair or </w:t>
            </w:r>
            <w:r w:rsidR="00BC5935">
              <w:rPr>
                <w:rFonts w:ascii="Cambria" w:hAnsi="Cambria"/>
              </w:rPr>
              <w:t xml:space="preserve">on the initiative of </w:t>
            </w:r>
            <w:r w:rsidRPr="005E724E">
              <w:rPr>
                <w:rFonts w:ascii="Cambria" w:hAnsi="Cambria"/>
              </w:rPr>
              <w:t>WGITA Chair</w:t>
            </w:r>
            <w:r w:rsidR="00BC5935">
              <w:rPr>
                <w:rFonts w:ascii="Cambria" w:hAnsi="Cambria"/>
              </w:rPr>
              <w:t xml:space="preserve">. </w:t>
            </w:r>
            <w:r w:rsidRPr="005E724E">
              <w:rPr>
                <w:rFonts w:ascii="Cambria" w:hAnsi="Cambria"/>
              </w:rPr>
              <w:t>In either case, the WGITA chair will forward a proposal to all members of WGITA with recommendation for a decision.”</w:t>
            </w:r>
          </w:p>
          <w:p w14:paraId="7CD14235" w14:textId="77777777" w:rsidR="005E724E" w:rsidRPr="005E724E" w:rsidRDefault="005E724E" w:rsidP="005E724E">
            <w:pPr>
              <w:jc w:val="both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Inserted in 9.2.3.: “</w:t>
            </w:r>
            <w:r w:rsidRPr="005E724E">
              <w:rPr>
                <w:rFonts w:ascii="Cambria" w:eastAsia="Times New Roman" w:hAnsi="Cambria" w:cs="Times New Roman"/>
                <w:color w:val="1A1A1A"/>
              </w:rPr>
              <w:t>Observers shall not be allowed to participate in the voting</w:t>
            </w:r>
            <w:proofErr w:type="gramStart"/>
            <w:r w:rsidRPr="005E724E">
              <w:rPr>
                <w:rFonts w:ascii="Cambria" w:eastAsia="Times New Roman" w:hAnsi="Cambria" w:cs="Times New Roman"/>
                <w:color w:val="1A1A1A"/>
              </w:rPr>
              <w:t>.</w:t>
            </w:r>
            <w:r w:rsidRPr="005E724E">
              <w:rPr>
                <w:rFonts w:ascii="Cambria" w:hAnsi="Cambria"/>
              </w:rPr>
              <w:t>“</w:t>
            </w:r>
            <w:proofErr w:type="gramEnd"/>
          </w:p>
        </w:tc>
      </w:tr>
      <w:tr w:rsidR="00A908DB" w:rsidRPr="005E724E" w14:paraId="0BEAC57B" w14:textId="77777777" w:rsidTr="00CC6813">
        <w:trPr>
          <w:jc w:val="center"/>
        </w:trPr>
        <w:tc>
          <w:tcPr>
            <w:tcW w:w="1165" w:type="dxa"/>
            <w:vAlign w:val="center"/>
          </w:tcPr>
          <w:p w14:paraId="460E814A" w14:textId="77777777" w:rsidR="00A908DB" w:rsidRPr="005E724E" w:rsidRDefault="00A908DB" w:rsidP="005B1697">
            <w:pPr>
              <w:pStyle w:val="CommentText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>Japan</w:t>
            </w:r>
          </w:p>
        </w:tc>
        <w:tc>
          <w:tcPr>
            <w:tcW w:w="1170" w:type="dxa"/>
            <w:vAlign w:val="center"/>
          </w:tcPr>
          <w:p w14:paraId="3582BC44" w14:textId="77777777" w:rsidR="00A908DB" w:rsidRPr="005E724E" w:rsidRDefault="00A908DB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4.2</w:t>
            </w:r>
          </w:p>
        </w:tc>
        <w:tc>
          <w:tcPr>
            <w:tcW w:w="4860" w:type="dxa"/>
            <w:vAlign w:val="center"/>
          </w:tcPr>
          <w:p w14:paraId="737D5903" w14:textId="3CC9FA7A" w:rsidR="00A908DB" w:rsidRPr="005E724E" w:rsidRDefault="00BD004B" w:rsidP="005E724E">
            <w:pPr>
              <w:jc w:val="both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hAnsi="Cambria"/>
              </w:rPr>
              <w:t>A</w:t>
            </w:r>
            <w:r w:rsidR="00A908DB" w:rsidRPr="005E724E">
              <w:rPr>
                <w:rFonts w:ascii="Cambria" w:hAnsi="Cambria"/>
              </w:rPr>
              <w:t xml:space="preserve">dding the following sentence in </w:t>
            </w:r>
            <w:proofErr w:type="spellStart"/>
            <w:r w:rsidR="00A908DB" w:rsidRPr="005E724E">
              <w:rPr>
                <w:rFonts w:ascii="Cambria" w:hAnsi="Cambria"/>
              </w:rPr>
              <w:t>ToR</w:t>
            </w:r>
            <w:proofErr w:type="spellEnd"/>
            <w:proofErr w:type="gramStart"/>
            <w:r w:rsidR="00A908DB" w:rsidRPr="005E724E">
              <w:rPr>
                <w:rFonts w:ascii="Cambria" w:hAnsi="Cambria"/>
              </w:rPr>
              <w:t>:</w:t>
            </w:r>
            <w:proofErr w:type="gramEnd"/>
            <w:r w:rsidR="00A908DB" w:rsidRPr="005E724E">
              <w:rPr>
                <w:rFonts w:ascii="Cambria" w:hAnsi="Cambria"/>
              </w:rPr>
              <w:br/>
            </w:r>
            <w:r w:rsidR="00A908DB" w:rsidRPr="00456646">
              <w:rPr>
                <w:rFonts w:ascii="Cambria" w:hAnsi="Cambria"/>
                <w:highlight w:val="yellow"/>
              </w:rPr>
              <w:t>“This terms of reference will be reviewed and updated in connection with the approval of each new INTOSAI strategic plan, </w:t>
            </w:r>
            <w:r w:rsidR="00A908DB" w:rsidRPr="00456646">
              <w:rPr>
                <w:rFonts w:ascii="Cambria" w:hAnsi="Cambria"/>
                <w:highlight w:val="yellow"/>
              </w:rPr>
              <w:br/>
              <w:t>or at the initiative of the WGITA Chair or KSC leadership</w:t>
            </w:r>
            <w:r w:rsidR="00A908DB" w:rsidRPr="005E724E">
              <w:rPr>
                <w:rFonts w:ascii="Cambria" w:hAnsi="Cambria"/>
              </w:rPr>
              <w:t>.”</w:t>
            </w:r>
          </w:p>
        </w:tc>
        <w:tc>
          <w:tcPr>
            <w:tcW w:w="4410" w:type="dxa"/>
            <w:vAlign w:val="center"/>
          </w:tcPr>
          <w:p w14:paraId="2ACCBFE7" w14:textId="77777777" w:rsidR="00A908DB" w:rsidRPr="005E724E" w:rsidRDefault="00014B35" w:rsidP="005E724E">
            <w:pPr>
              <w:jc w:val="both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New line accordingly added in section 4.2</w:t>
            </w:r>
          </w:p>
        </w:tc>
      </w:tr>
      <w:tr w:rsidR="00A908DB" w:rsidRPr="005E724E" w14:paraId="5B44D953" w14:textId="77777777" w:rsidTr="00CC6813">
        <w:trPr>
          <w:jc w:val="center"/>
        </w:trPr>
        <w:tc>
          <w:tcPr>
            <w:tcW w:w="1165" w:type="dxa"/>
            <w:vAlign w:val="center"/>
          </w:tcPr>
          <w:p w14:paraId="48A6BAE0" w14:textId="77777777" w:rsidR="00014B35" w:rsidRPr="005E724E" w:rsidRDefault="00014B35" w:rsidP="005B1697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Argentina</w:t>
            </w:r>
          </w:p>
          <w:p w14:paraId="3F5C103F" w14:textId="77777777" w:rsidR="00A908DB" w:rsidRPr="005E724E" w:rsidRDefault="00A908DB" w:rsidP="005B1697">
            <w:pPr>
              <w:pStyle w:val="CommentText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9E817CE" w14:textId="77777777" w:rsidR="00A908DB" w:rsidRPr="005E724E" w:rsidRDefault="00014B35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9.6</w:t>
            </w:r>
          </w:p>
        </w:tc>
        <w:tc>
          <w:tcPr>
            <w:tcW w:w="4860" w:type="dxa"/>
            <w:vAlign w:val="center"/>
          </w:tcPr>
          <w:p w14:paraId="67E60849" w14:textId="2098275D" w:rsidR="00A908DB" w:rsidRPr="005E724E" w:rsidRDefault="00014B35" w:rsidP="00BD004B">
            <w:pPr>
              <w:jc w:val="both"/>
              <w:rPr>
                <w:rFonts w:ascii="Cambria" w:eastAsia="Times New Roman" w:hAnsi="Cambria" w:cs="Times New Roman"/>
                <w:lang w:val="en-US"/>
              </w:rPr>
            </w:pPr>
            <w:r w:rsidRPr="005E724E">
              <w:rPr>
                <w:rFonts w:ascii="Cambria" w:hAnsi="Cambria"/>
                <w:lang w:eastAsia="en-IN"/>
              </w:rPr>
              <w:t xml:space="preserve"> </w:t>
            </w:r>
            <w:r w:rsidR="00BD004B">
              <w:rPr>
                <w:rFonts w:ascii="Cambria" w:hAnsi="Cambria"/>
                <w:lang w:eastAsia="en-IN"/>
              </w:rPr>
              <w:t>Added “Can” in all the sub-clauses</w:t>
            </w:r>
            <w:r w:rsidR="00D343FF">
              <w:rPr>
                <w:rFonts w:ascii="Cambria" w:hAnsi="Cambria"/>
                <w:lang w:eastAsia="en-IN"/>
              </w:rPr>
              <w:t xml:space="preserve"> to </w:t>
            </w:r>
            <w:r w:rsidR="00D343FF" w:rsidRPr="00456646">
              <w:rPr>
                <w:rFonts w:ascii="Cambria" w:hAnsi="Cambria"/>
                <w:highlight w:val="yellow"/>
                <w:lang w:eastAsia="en-IN"/>
              </w:rPr>
              <w:t>not make it look  mandatory</w:t>
            </w:r>
          </w:p>
        </w:tc>
        <w:tc>
          <w:tcPr>
            <w:tcW w:w="4410" w:type="dxa"/>
            <w:vAlign w:val="center"/>
          </w:tcPr>
          <w:p w14:paraId="7ED8B92C" w14:textId="782E3AF1" w:rsidR="00A908DB" w:rsidRPr="005E724E" w:rsidRDefault="00014B35" w:rsidP="00BD004B">
            <w:pPr>
              <w:jc w:val="both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9.6</w:t>
            </w:r>
            <w:r w:rsidR="00791FBA" w:rsidRPr="005E724E">
              <w:rPr>
                <w:rFonts w:ascii="Cambria" w:hAnsi="Cambria"/>
              </w:rPr>
              <w:t xml:space="preserve"> </w:t>
            </w:r>
            <w:r w:rsidRPr="005E724E">
              <w:rPr>
                <w:rFonts w:ascii="Cambria" w:hAnsi="Cambria"/>
              </w:rPr>
              <w:t xml:space="preserve">amended by replacing “will have the  responsibility” with </w:t>
            </w:r>
            <w:r w:rsidRPr="00456646">
              <w:rPr>
                <w:rFonts w:ascii="Cambria" w:hAnsi="Cambria"/>
                <w:highlight w:val="yellow"/>
              </w:rPr>
              <w:t>”are expected to”</w:t>
            </w:r>
            <w:r w:rsidRPr="005E724E">
              <w:rPr>
                <w:rFonts w:ascii="Cambria" w:hAnsi="Cambria"/>
              </w:rPr>
              <w:t xml:space="preserve">  </w:t>
            </w:r>
          </w:p>
        </w:tc>
      </w:tr>
      <w:tr w:rsidR="005E724E" w:rsidRPr="005E724E" w14:paraId="60B458A7" w14:textId="77777777" w:rsidTr="00CC6813">
        <w:trPr>
          <w:jc w:val="center"/>
        </w:trPr>
        <w:tc>
          <w:tcPr>
            <w:tcW w:w="1165" w:type="dxa"/>
            <w:vMerge w:val="restart"/>
            <w:vAlign w:val="center"/>
          </w:tcPr>
          <w:p w14:paraId="7B52273B" w14:textId="77777777" w:rsidR="005E724E" w:rsidRPr="005E724E" w:rsidRDefault="005E724E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Peru</w:t>
            </w:r>
          </w:p>
        </w:tc>
        <w:tc>
          <w:tcPr>
            <w:tcW w:w="1170" w:type="dxa"/>
            <w:vAlign w:val="center"/>
          </w:tcPr>
          <w:p w14:paraId="19B7F9B9" w14:textId="77777777" w:rsidR="005E724E" w:rsidRPr="005E724E" w:rsidRDefault="005E724E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 w:cs="Mangal"/>
                <w:bCs/>
              </w:rPr>
              <w:t>5.5</w:t>
            </w:r>
          </w:p>
        </w:tc>
        <w:tc>
          <w:tcPr>
            <w:tcW w:w="4860" w:type="dxa"/>
            <w:vAlign w:val="center"/>
          </w:tcPr>
          <w:p w14:paraId="41F3E847" w14:textId="6FC71486" w:rsidR="005E724E" w:rsidRPr="005E724E" w:rsidRDefault="005E724E" w:rsidP="00BD004B">
            <w:pPr>
              <w:pStyle w:val="CommentText"/>
              <w:spacing w:after="0"/>
              <w:jc w:val="both"/>
              <w:rPr>
                <w:rFonts w:ascii="Cambria" w:hAnsi="Cambria"/>
                <w:sz w:val="22"/>
                <w:szCs w:val="22"/>
                <w:lang w:eastAsia="en-IN"/>
              </w:rPr>
            </w:pPr>
            <w:r w:rsidRPr="00755EC3">
              <w:rPr>
                <w:rFonts w:ascii="Cambria" w:hAnsi="Cambria"/>
                <w:sz w:val="22"/>
                <w:szCs w:val="22"/>
                <w:highlight w:val="yellow"/>
              </w:rPr>
              <w:t>WGITA chair inform all members by email, ab</w:t>
            </w:r>
            <w:r w:rsidR="00AC6080" w:rsidRPr="00755EC3">
              <w:rPr>
                <w:rFonts w:ascii="Cambria" w:hAnsi="Cambria"/>
                <w:sz w:val="22"/>
                <w:szCs w:val="22"/>
                <w:highlight w:val="yellow"/>
              </w:rPr>
              <w:t>o</w:t>
            </w:r>
            <w:r w:rsidRPr="00755EC3">
              <w:rPr>
                <w:rFonts w:ascii="Cambria" w:hAnsi="Cambria"/>
                <w:sz w:val="22"/>
                <w:szCs w:val="22"/>
                <w:highlight w:val="yellow"/>
              </w:rPr>
              <w:t>ut new members</w:t>
            </w:r>
            <w:r w:rsidRPr="005E724E">
              <w:rPr>
                <w:rFonts w:ascii="Cambria" w:hAnsi="Cambria"/>
                <w:sz w:val="22"/>
                <w:szCs w:val="22"/>
              </w:rPr>
              <w:t xml:space="preserve"> and the withdrawal of current members.</w:t>
            </w:r>
          </w:p>
        </w:tc>
        <w:tc>
          <w:tcPr>
            <w:tcW w:w="4410" w:type="dxa"/>
            <w:vAlign w:val="center"/>
          </w:tcPr>
          <w:p w14:paraId="4522BCDE" w14:textId="77777777" w:rsidR="005E724E" w:rsidRPr="005E724E" w:rsidRDefault="005E724E" w:rsidP="008E4285">
            <w:pPr>
              <w:jc w:val="both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 xml:space="preserve">5.5 has been amended “The </w:t>
            </w:r>
            <w:r w:rsidR="008E4285">
              <w:rPr>
                <w:rFonts w:ascii="Cambria" w:hAnsi="Cambria"/>
              </w:rPr>
              <w:t xml:space="preserve">WGITA chair shall provide </w:t>
            </w:r>
            <w:r w:rsidRPr="005E724E">
              <w:rPr>
                <w:rFonts w:ascii="Cambria" w:hAnsi="Cambria"/>
              </w:rPr>
              <w:t>details of new membership and withdrawal of existing members to all the members by email”</w:t>
            </w:r>
          </w:p>
        </w:tc>
      </w:tr>
      <w:tr w:rsidR="005E724E" w:rsidRPr="005E724E" w14:paraId="6E54D782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01B9EDDE" w14:textId="77777777" w:rsidR="005E724E" w:rsidRPr="005E724E" w:rsidRDefault="005E724E" w:rsidP="005E724E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14:paraId="54E7000A" w14:textId="77777777" w:rsidR="005E724E" w:rsidRPr="005E724E" w:rsidRDefault="005E724E" w:rsidP="005E724E">
            <w:pPr>
              <w:jc w:val="center"/>
              <w:rPr>
                <w:rFonts w:ascii="Cambria" w:hAnsi="Cambria" w:cs="Mangal"/>
                <w:bCs/>
              </w:rPr>
            </w:pPr>
            <w:r w:rsidRPr="005E724E">
              <w:rPr>
                <w:rFonts w:ascii="Cambria" w:hAnsi="Cambria" w:cs="Mangal"/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14:paraId="3CF967C9" w14:textId="05580938" w:rsidR="005E724E" w:rsidRPr="005E724E" w:rsidRDefault="00BD004B" w:rsidP="005E724E">
            <w:pPr>
              <w:pStyle w:val="CommentText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755EC3">
              <w:rPr>
                <w:rFonts w:ascii="Cambria" w:hAnsi="Cambria"/>
                <w:sz w:val="22"/>
                <w:szCs w:val="22"/>
                <w:highlight w:val="yellow"/>
              </w:rPr>
              <w:t>E</w:t>
            </w:r>
            <w:r w:rsidR="005E724E" w:rsidRPr="00755EC3">
              <w:rPr>
                <w:rFonts w:ascii="Cambria" w:hAnsi="Cambria"/>
                <w:sz w:val="22"/>
                <w:szCs w:val="22"/>
                <w:highlight w:val="yellow"/>
              </w:rPr>
              <w:t>xpand PAS section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. In particular, it might be best to specify: </w:t>
            </w:r>
          </w:p>
          <w:p w14:paraId="470F66EE" w14:textId="77777777" w:rsidR="005E724E" w:rsidRPr="005E724E" w:rsidRDefault="005E724E" w:rsidP="005E724E">
            <w:pPr>
              <w:pStyle w:val="CommentText"/>
              <w:numPr>
                <w:ilvl w:val="0"/>
                <w:numId w:val="3"/>
              </w:numPr>
              <w:spacing w:after="0"/>
              <w:ind w:left="138" w:hanging="180"/>
              <w:jc w:val="both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>Who will decide if a PAS will be held?</w:t>
            </w:r>
          </w:p>
          <w:p w14:paraId="34EC9B4B" w14:textId="77777777" w:rsidR="005E724E" w:rsidRPr="005E724E" w:rsidRDefault="005E724E" w:rsidP="005E724E">
            <w:pPr>
              <w:pStyle w:val="CommentText"/>
              <w:numPr>
                <w:ilvl w:val="0"/>
                <w:numId w:val="3"/>
              </w:numPr>
              <w:spacing w:after="0"/>
              <w:ind w:left="138" w:hanging="180"/>
              <w:jc w:val="both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>What criteria will be used to determine if a PAS shall be held?</w:t>
            </w:r>
          </w:p>
          <w:p w14:paraId="740E561F" w14:textId="77777777" w:rsidR="005E724E" w:rsidRPr="005E724E" w:rsidRDefault="005E724E" w:rsidP="005E724E">
            <w:pPr>
              <w:pStyle w:val="CommentText"/>
              <w:numPr>
                <w:ilvl w:val="0"/>
                <w:numId w:val="3"/>
              </w:numPr>
              <w:spacing w:after="0"/>
              <w:ind w:left="138" w:hanging="180"/>
              <w:jc w:val="both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>Who will be responsible for hosting the PAS?</w:t>
            </w:r>
          </w:p>
        </w:tc>
        <w:tc>
          <w:tcPr>
            <w:tcW w:w="4410" w:type="dxa"/>
            <w:vAlign w:val="center"/>
          </w:tcPr>
          <w:p w14:paraId="570463AA" w14:textId="77777777" w:rsidR="005E724E" w:rsidRDefault="00BD004B" w:rsidP="00BD00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7 A</w:t>
            </w:r>
            <w:r w:rsidR="005E724E" w:rsidRPr="005E724E">
              <w:rPr>
                <w:rFonts w:ascii="Cambria" w:hAnsi="Cambria"/>
              </w:rPr>
              <w:t xml:space="preserve">mended to replace PAS with seminar in conjunction with WGITA meeting and Webinars. </w:t>
            </w:r>
          </w:p>
          <w:p w14:paraId="650AE735" w14:textId="2B4A32D7" w:rsidR="00BD004B" w:rsidRPr="005E724E" w:rsidRDefault="00BD004B" w:rsidP="002E5A2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Section 10.5 - topic to be decided in </w:t>
            </w:r>
            <w:r w:rsidR="00ED00BE">
              <w:rPr>
                <w:rFonts w:ascii="Cambria" w:hAnsi="Cambria"/>
              </w:rPr>
              <w:t>consultation</w:t>
            </w:r>
            <w:r w:rsidR="002E5A28">
              <w:rPr>
                <w:rFonts w:ascii="Cambria" w:hAnsi="Cambria"/>
              </w:rPr>
              <w:t xml:space="preserve"> with Chair</w:t>
            </w:r>
            <w:r>
              <w:rPr>
                <w:rFonts w:ascii="Cambria" w:hAnsi="Cambria"/>
              </w:rPr>
              <w:t xml:space="preserve">. </w:t>
            </w:r>
          </w:p>
        </w:tc>
      </w:tr>
      <w:tr w:rsidR="005E724E" w:rsidRPr="005E724E" w14:paraId="3600793D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47DC8EB6" w14:textId="77777777" w:rsidR="005E724E" w:rsidRPr="005E724E" w:rsidRDefault="005E724E" w:rsidP="005E724E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14:paraId="735BB8F3" w14:textId="77777777" w:rsidR="005E724E" w:rsidRPr="005E724E" w:rsidRDefault="005E724E" w:rsidP="005E724E">
            <w:pPr>
              <w:jc w:val="center"/>
              <w:rPr>
                <w:rFonts w:ascii="Cambria" w:hAnsi="Cambria" w:cs="Mangal"/>
                <w:bCs/>
              </w:rPr>
            </w:pPr>
            <w:r w:rsidRPr="005E724E">
              <w:rPr>
                <w:rFonts w:ascii="Cambria" w:hAnsi="Cambria" w:cs="Mangal"/>
                <w:bCs/>
              </w:rPr>
              <w:t>9.3</w:t>
            </w:r>
          </w:p>
        </w:tc>
        <w:tc>
          <w:tcPr>
            <w:tcW w:w="4860" w:type="dxa"/>
            <w:vAlign w:val="center"/>
          </w:tcPr>
          <w:p w14:paraId="20D34481" w14:textId="6DB14ADE" w:rsidR="005E724E" w:rsidRPr="005E724E" w:rsidRDefault="005E724E" w:rsidP="005E724E">
            <w:pPr>
              <w:pStyle w:val="p0"/>
              <w:widowControl w:val="0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31641">
              <w:rPr>
                <w:rFonts w:ascii="Cambria" w:hAnsi="Cambria"/>
                <w:sz w:val="22"/>
                <w:szCs w:val="22"/>
                <w:highlight w:val="yellow"/>
              </w:rPr>
              <w:t>ToR</w:t>
            </w:r>
            <w:proofErr w:type="spellEnd"/>
            <w:r w:rsidRPr="00F31641">
              <w:rPr>
                <w:rFonts w:ascii="Cambria" w:hAnsi="Cambria"/>
                <w:sz w:val="22"/>
                <w:szCs w:val="22"/>
                <w:highlight w:val="yellow"/>
              </w:rPr>
              <w:t xml:space="preserve"> don’t specify the procedure for electing the Chair and Secretariat</w:t>
            </w:r>
            <w:r w:rsidRPr="005E724E">
              <w:rPr>
                <w:rFonts w:ascii="Cambria" w:hAnsi="Cambria"/>
                <w:sz w:val="22"/>
                <w:szCs w:val="22"/>
              </w:rPr>
              <w:t xml:space="preserve">, nor the length of the term, if re-election is possible and for how many terms. </w:t>
            </w:r>
          </w:p>
        </w:tc>
        <w:tc>
          <w:tcPr>
            <w:tcW w:w="4410" w:type="dxa"/>
            <w:vAlign w:val="center"/>
          </w:tcPr>
          <w:p w14:paraId="63F7D703" w14:textId="588D2637" w:rsidR="005E724E" w:rsidRPr="005E724E" w:rsidRDefault="00BD004B" w:rsidP="002E5A28">
            <w:pPr>
              <w:pStyle w:val="p0"/>
              <w:widowControl w:val="0"/>
              <w:spacing w:before="0" w:beforeAutospacing="0" w:after="0" w:afterAutospacing="0"/>
              <w:ind w:left="-1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mended to </w:t>
            </w:r>
            <w:r w:rsidR="00F31641" w:rsidRPr="005E724E">
              <w:rPr>
                <w:rFonts w:ascii="Cambria" w:hAnsi="Cambria"/>
                <w:sz w:val="22"/>
                <w:szCs w:val="22"/>
              </w:rPr>
              <w:t>link the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 appointment and term of WGITA Chair with the </w:t>
            </w:r>
            <w:r w:rsidR="005E724E" w:rsidRPr="00F31641">
              <w:rPr>
                <w:rFonts w:ascii="Cambria" w:hAnsi="Cambria"/>
                <w:sz w:val="22"/>
                <w:szCs w:val="22"/>
                <w:highlight w:val="yellow"/>
              </w:rPr>
              <w:t>INTOSAI Handbook of Committees.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5E724E" w:rsidRPr="005E724E" w14:paraId="0E1953BC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4B37E942" w14:textId="77777777" w:rsidR="005E724E" w:rsidRPr="005E724E" w:rsidRDefault="005E724E" w:rsidP="005E724E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14:paraId="3AFC697C" w14:textId="77777777" w:rsidR="005E724E" w:rsidRPr="005E724E" w:rsidRDefault="005E724E" w:rsidP="005E724E">
            <w:pPr>
              <w:jc w:val="center"/>
              <w:rPr>
                <w:rFonts w:ascii="Cambria" w:hAnsi="Cambria" w:cs="Mangal"/>
                <w:bCs/>
              </w:rPr>
            </w:pPr>
            <w:r w:rsidRPr="005E724E">
              <w:rPr>
                <w:rFonts w:ascii="Cambria" w:hAnsi="Cambria"/>
              </w:rPr>
              <w:t>9.4.3</w:t>
            </w:r>
          </w:p>
        </w:tc>
        <w:tc>
          <w:tcPr>
            <w:tcW w:w="4860" w:type="dxa"/>
            <w:vAlign w:val="center"/>
          </w:tcPr>
          <w:p w14:paraId="00679218" w14:textId="3DD92FDE" w:rsidR="005E724E" w:rsidRPr="005E724E" w:rsidRDefault="00BD004B" w:rsidP="00BD004B">
            <w:pPr>
              <w:pStyle w:val="CommentText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ecify </w:t>
            </w:r>
            <w:r w:rsidR="005E724E" w:rsidRPr="00F31641">
              <w:rPr>
                <w:rFonts w:ascii="Cambria" w:hAnsi="Cambria"/>
                <w:sz w:val="22"/>
                <w:szCs w:val="22"/>
                <w:highlight w:val="yellow"/>
              </w:rPr>
              <w:t>how far in advance the agenda will be notified to the members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>ocuments relating to the agenda points should be sent at the same time as the agenda itself.</w:t>
            </w:r>
          </w:p>
        </w:tc>
        <w:tc>
          <w:tcPr>
            <w:tcW w:w="4410" w:type="dxa"/>
            <w:vAlign w:val="center"/>
          </w:tcPr>
          <w:p w14:paraId="69C19537" w14:textId="77777777" w:rsidR="005E724E" w:rsidRDefault="00BD004B" w:rsidP="00BD004B">
            <w:pPr>
              <w:pStyle w:val="p0"/>
              <w:widowControl w:val="0"/>
              <w:spacing w:before="0" w:beforeAutospacing="0" w:after="0" w:afterAutospacing="0"/>
              <w:ind w:left="-1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Added 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>“</w:t>
            </w:r>
            <w:r w:rsidR="00F31641" w:rsidRPr="005E724E">
              <w:rPr>
                <w:rFonts w:ascii="Cambria" w:hAnsi="Cambria"/>
                <w:sz w:val="22"/>
                <w:szCs w:val="22"/>
              </w:rPr>
              <w:t>at least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 six weeks in advance before the meeting”. </w:t>
            </w:r>
          </w:p>
          <w:p w14:paraId="205C403E" w14:textId="42864D93" w:rsidR="00BD004B" w:rsidRPr="005E724E" w:rsidRDefault="00BD004B" w:rsidP="00BD004B">
            <w:pPr>
              <w:pStyle w:val="p0"/>
              <w:widowControl w:val="0"/>
              <w:spacing w:before="0" w:beforeAutospacing="0" w:after="0" w:afterAutospacing="0"/>
              <w:ind w:left="-1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Section 9.2.1 provides for submission of documents to Chair four weeks in advance. </w:t>
            </w:r>
          </w:p>
        </w:tc>
      </w:tr>
      <w:tr w:rsidR="005E724E" w:rsidRPr="005E724E" w14:paraId="0302169D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7CAE008D" w14:textId="77777777" w:rsidR="005E724E" w:rsidRPr="005E724E" w:rsidRDefault="005E724E" w:rsidP="005E724E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14:paraId="3A581656" w14:textId="77777777" w:rsidR="005E724E" w:rsidRPr="005E724E" w:rsidRDefault="005E724E" w:rsidP="005E724E">
            <w:pPr>
              <w:jc w:val="center"/>
              <w:rPr>
                <w:rFonts w:ascii="Cambria" w:hAnsi="Cambria" w:cs="Mangal"/>
                <w:bCs/>
              </w:rPr>
            </w:pPr>
            <w:r w:rsidRPr="005E724E">
              <w:rPr>
                <w:rFonts w:ascii="Cambria" w:hAnsi="Cambria"/>
              </w:rPr>
              <w:t>9.4.10</w:t>
            </w:r>
          </w:p>
        </w:tc>
        <w:tc>
          <w:tcPr>
            <w:tcW w:w="4860" w:type="dxa"/>
            <w:vAlign w:val="center"/>
          </w:tcPr>
          <w:p w14:paraId="605DB77C" w14:textId="4DF40953" w:rsidR="005E724E" w:rsidRPr="005E724E" w:rsidRDefault="00ED00BE" w:rsidP="005E724E">
            <w:pPr>
              <w:pStyle w:val="CommentText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>pecify what matters will be communicated by the Chair and the Secretariat.</w:t>
            </w:r>
          </w:p>
        </w:tc>
        <w:tc>
          <w:tcPr>
            <w:tcW w:w="4410" w:type="dxa"/>
            <w:vAlign w:val="center"/>
          </w:tcPr>
          <w:p w14:paraId="0654EC83" w14:textId="4DDF70C2" w:rsidR="005E724E" w:rsidRPr="005E724E" w:rsidRDefault="005E724E" w:rsidP="00ED00BE">
            <w:pPr>
              <w:shd w:val="clear" w:color="auto" w:fill="FFFFFF"/>
              <w:ind w:left="-37" w:firstLine="22"/>
              <w:jc w:val="both"/>
              <w:rPr>
                <w:rFonts w:ascii="Cambria" w:hAnsi="Cambria"/>
                <w:lang w:val="en-US"/>
              </w:rPr>
            </w:pPr>
            <w:r w:rsidRPr="005E724E">
              <w:rPr>
                <w:rFonts w:ascii="Cambria" w:hAnsi="Cambria"/>
              </w:rPr>
              <w:t xml:space="preserve">9.4.10 </w:t>
            </w:r>
            <w:r w:rsidR="00ED00BE">
              <w:rPr>
                <w:rFonts w:ascii="Cambria" w:hAnsi="Cambria"/>
              </w:rPr>
              <w:t>added</w:t>
            </w:r>
            <w:r w:rsidRPr="005E724E">
              <w:rPr>
                <w:rFonts w:ascii="Cambria" w:hAnsi="Cambria"/>
              </w:rPr>
              <w:t xml:space="preserve"> “</w:t>
            </w:r>
            <w:r w:rsidRPr="005E724E">
              <w:rPr>
                <w:rFonts w:ascii="Cambria" w:eastAsia="Times New Roman" w:hAnsi="Cambria" w:cs="Times New Roman"/>
                <w:color w:val="1A1A1A"/>
                <w:lang w:val="en-US"/>
              </w:rPr>
              <w:t xml:space="preserve">Handle all communications within and outside of the WGITA and INTOSAI as warranted by INTOSAI Strategic Plan, Due Process of IFPP, INTOSAI Handbooks and </w:t>
            </w:r>
            <w:proofErr w:type="spellStart"/>
            <w:r w:rsidRPr="005E724E">
              <w:rPr>
                <w:rFonts w:ascii="Cambria" w:eastAsia="Times New Roman" w:hAnsi="Cambria" w:cs="Times New Roman"/>
                <w:color w:val="1A1A1A"/>
                <w:lang w:val="en-US"/>
              </w:rPr>
              <w:t>ToR</w:t>
            </w:r>
            <w:proofErr w:type="spellEnd"/>
            <w:r w:rsidRPr="005E724E">
              <w:rPr>
                <w:rFonts w:ascii="Cambria" w:eastAsia="Times New Roman" w:hAnsi="Cambria" w:cs="Times New Roman"/>
                <w:color w:val="1A1A1A"/>
                <w:lang w:val="en-US"/>
              </w:rPr>
              <w:t xml:space="preserve"> of the Goal Committee</w:t>
            </w:r>
            <w:r w:rsidR="008E4285">
              <w:rPr>
                <w:rFonts w:ascii="Cambria" w:eastAsia="Times New Roman" w:hAnsi="Cambria" w:cs="Times New Roman"/>
                <w:color w:val="1A1A1A"/>
                <w:lang w:val="en-US"/>
              </w:rPr>
              <w:t>, or any other INTOSAI document</w:t>
            </w:r>
            <w:r w:rsidRPr="005E724E">
              <w:rPr>
                <w:rFonts w:ascii="Cambria" w:eastAsia="Times New Roman" w:hAnsi="Cambria" w:cs="Times New Roman"/>
                <w:color w:val="1A1A1A"/>
                <w:lang w:val="en-US"/>
              </w:rPr>
              <w:t>.”</w:t>
            </w:r>
          </w:p>
        </w:tc>
      </w:tr>
      <w:tr w:rsidR="005E724E" w:rsidRPr="005E724E" w14:paraId="3A77A0A9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022A4148" w14:textId="77777777" w:rsidR="005E724E" w:rsidRPr="005E724E" w:rsidRDefault="005E724E" w:rsidP="005E724E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14:paraId="2A171C22" w14:textId="77777777" w:rsidR="005E724E" w:rsidRPr="005E724E" w:rsidRDefault="005E724E" w:rsidP="005E724E">
            <w:pPr>
              <w:jc w:val="center"/>
              <w:rPr>
                <w:rFonts w:ascii="Cambria" w:hAnsi="Cambria" w:cs="Mangal"/>
                <w:bCs/>
              </w:rPr>
            </w:pPr>
            <w:r w:rsidRPr="005E724E">
              <w:rPr>
                <w:rFonts w:ascii="Cambria" w:hAnsi="Cambria"/>
              </w:rPr>
              <w:t>9.5</w:t>
            </w:r>
          </w:p>
        </w:tc>
        <w:tc>
          <w:tcPr>
            <w:tcW w:w="4860" w:type="dxa"/>
            <w:vAlign w:val="center"/>
          </w:tcPr>
          <w:p w14:paraId="539F1EEF" w14:textId="536626DF" w:rsidR="005E724E" w:rsidRPr="005E724E" w:rsidRDefault="00ED00BE" w:rsidP="00ED00BE">
            <w:pPr>
              <w:pStyle w:val="CommentText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onsider </w:t>
            </w:r>
            <w:r w:rsidR="005E724E" w:rsidRPr="00755EC3">
              <w:rPr>
                <w:rFonts w:ascii="Cambria" w:hAnsi="Cambria"/>
                <w:sz w:val="22"/>
                <w:szCs w:val="22"/>
                <w:highlight w:val="yellow"/>
              </w:rPr>
              <w:t>another term besides “execute</w:t>
            </w:r>
            <w:r w:rsidR="005E724E" w:rsidRPr="00F31641">
              <w:rPr>
                <w:rFonts w:ascii="Cambria" w:hAnsi="Cambria"/>
                <w:sz w:val="22"/>
                <w:szCs w:val="22"/>
                <w:highlight w:val="yellow"/>
              </w:rPr>
              <w:t>”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>, since the execution of the Team’s work should be the responsibility of all Team member</w:t>
            </w:r>
          </w:p>
        </w:tc>
        <w:tc>
          <w:tcPr>
            <w:tcW w:w="4410" w:type="dxa"/>
            <w:vAlign w:val="center"/>
          </w:tcPr>
          <w:p w14:paraId="1A72A02D" w14:textId="77777777" w:rsidR="005E724E" w:rsidRPr="005E724E" w:rsidRDefault="005E724E" w:rsidP="005E724E">
            <w:pPr>
              <w:pStyle w:val="p0"/>
              <w:widowControl w:val="0"/>
              <w:spacing w:before="0" w:beforeAutospacing="0" w:after="0" w:afterAutospacing="0"/>
              <w:ind w:left="-15"/>
              <w:jc w:val="both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>9.5 has been amended to include “supported by the project team”</w:t>
            </w:r>
          </w:p>
        </w:tc>
      </w:tr>
      <w:tr w:rsidR="005E724E" w:rsidRPr="005E724E" w14:paraId="7CA6A8D1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1A5B43B8" w14:textId="77777777" w:rsidR="005E724E" w:rsidRPr="005E724E" w:rsidRDefault="005E724E" w:rsidP="005E724E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14:paraId="3A41B8E5" w14:textId="77777777" w:rsidR="005E724E" w:rsidRPr="005E724E" w:rsidRDefault="005E724E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13.4</w:t>
            </w:r>
          </w:p>
        </w:tc>
        <w:tc>
          <w:tcPr>
            <w:tcW w:w="4860" w:type="dxa"/>
            <w:vAlign w:val="center"/>
          </w:tcPr>
          <w:p w14:paraId="065EF4DF" w14:textId="47F98BFB" w:rsidR="005E724E" w:rsidRPr="005E724E" w:rsidRDefault="00ED00BE" w:rsidP="00755EC3">
            <w:pPr>
              <w:pStyle w:val="CommentText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755EC3">
              <w:rPr>
                <w:rFonts w:ascii="Cambria" w:hAnsi="Cambria"/>
                <w:sz w:val="22"/>
                <w:szCs w:val="22"/>
                <w:highlight w:val="yellow"/>
              </w:rPr>
              <w:t>I</w:t>
            </w:r>
            <w:r w:rsidR="005E724E" w:rsidRPr="00755EC3">
              <w:rPr>
                <w:rFonts w:ascii="Cambria" w:hAnsi="Cambria"/>
                <w:sz w:val="22"/>
                <w:szCs w:val="22"/>
                <w:highlight w:val="yellow"/>
              </w:rPr>
              <w:t>ncrease time period so</w:t>
            </w:r>
            <w:bookmarkStart w:id="0" w:name="_GoBack"/>
            <w:bookmarkEnd w:id="0"/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 that the members of the WGITA have </w:t>
            </w:r>
            <w:r w:rsidR="005E724E" w:rsidRPr="00F31641">
              <w:rPr>
                <w:rFonts w:ascii="Cambria" w:hAnsi="Cambria"/>
                <w:sz w:val="22"/>
                <w:szCs w:val="22"/>
                <w:highlight w:val="yellow"/>
              </w:rPr>
              <w:t>more time to properly review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 the documents and prepare their contributions to the meeting. </w:t>
            </w:r>
          </w:p>
        </w:tc>
        <w:tc>
          <w:tcPr>
            <w:tcW w:w="4410" w:type="dxa"/>
            <w:vAlign w:val="center"/>
          </w:tcPr>
          <w:p w14:paraId="03E4D406" w14:textId="0E99FAE7" w:rsidR="005E724E" w:rsidRPr="005E724E" w:rsidRDefault="00ED00BE" w:rsidP="005E724E">
            <w:pPr>
              <w:pStyle w:val="p0"/>
              <w:widowControl w:val="0"/>
              <w:spacing w:before="0" w:beforeAutospacing="0" w:after="0" w:afterAutospacing="0"/>
              <w:ind w:left="-1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weeks is the outer limit. It can be more depending on receipt from the contributors.</w:t>
            </w:r>
            <w:r w:rsidR="005E724E" w:rsidRPr="005E724E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</w:tr>
      <w:tr w:rsidR="005E724E" w:rsidRPr="005E724E" w14:paraId="16648ACD" w14:textId="77777777" w:rsidTr="00CC6813">
        <w:trPr>
          <w:jc w:val="center"/>
        </w:trPr>
        <w:tc>
          <w:tcPr>
            <w:tcW w:w="1165" w:type="dxa"/>
            <w:vMerge w:val="restart"/>
            <w:vAlign w:val="center"/>
          </w:tcPr>
          <w:p w14:paraId="20A75470" w14:textId="77777777" w:rsidR="005E724E" w:rsidRPr="005E724E" w:rsidRDefault="005E724E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Mexico</w:t>
            </w:r>
          </w:p>
        </w:tc>
        <w:tc>
          <w:tcPr>
            <w:tcW w:w="1170" w:type="dxa"/>
            <w:vAlign w:val="center"/>
          </w:tcPr>
          <w:p w14:paraId="4E5EFF90" w14:textId="77777777" w:rsidR="005E724E" w:rsidRPr="005E724E" w:rsidRDefault="008E4285" w:rsidP="005E724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860" w:type="dxa"/>
            <w:vAlign w:val="center"/>
          </w:tcPr>
          <w:p w14:paraId="2D7F1DF7" w14:textId="4E0F9CA7" w:rsidR="005E724E" w:rsidRPr="005E724E" w:rsidRDefault="005E724E" w:rsidP="00755EC3">
            <w:pPr>
              <w:jc w:val="both"/>
              <w:rPr>
                <w:rFonts w:ascii="Cambria" w:hAnsi="Cambria"/>
              </w:rPr>
            </w:pPr>
            <w:r w:rsidRPr="005E724E">
              <w:rPr>
                <w:rFonts w:ascii="Cambria" w:eastAsia="Times New Roman" w:hAnsi="Cambria" w:cs="Arial"/>
                <w:bCs/>
                <w:lang w:val="en-US"/>
              </w:rPr>
              <w:t>Mission</w:t>
            </w:r>
            <w:r w:rsidR="00755EC3">
              <w:rPr>
                <w:rFonts w:ascii="Cambria" w:eastAsia="Times New Roman" w:hAnsi="Cambria" w:cs="Arial"/>
                <w:bCs/>
                <w:lang w:val="en-US"/>
              </w:rPr>
              <w:t xml:space="preserve"> to reflect</w:t>
            </w:r>
            <w:r w:rsidRPr="005E724E">
              <w:rPr>
                <w:rFonts w:ascii="Cambria" w:eastAsia="Times New Roman" w:hAnsi="Cambria" w:cs="Arial"/>
                <w:iCs/>
                <w:lang w:val="en-US"/>
              </w:rPr>
              <w:t xml:space="preserve"> </w:t>
            </w:r>
            <w:r w:rsidRPr="00F31641">
              <w:rPr>
                <w:rFonts w:ascii="Cambria" w:eastAsia="Times New Roman" w:hAnsi="Cambria" w:cs="Arial"/>
                <w:iCs/>
                <w:highlight w:val="yellow"/>
                <w:lang w:val="en-US"/>
              </w:rPr>
              <w:t>relationship with external organizations</w:t>
            </w:r>
            <w:r w:rsidRPr="005E724E">
              <w:rPr>
                <w:rFonts w:ascii="Cambria" w:eastAsia="Times New Roman" w:hAnsi="Cambria" w:cs="Arial"/>
                <w:iCs/>
                <w:lang w:val="en-US"/>
              </w:rPr>
              <w:t xml:space="preserve"> relevant to the IT Audit.</w:t>
            </w:r>
          </w:p>
        </w:tc>
        <w:tc>
          <w:tcPr>
            <w:tcW w:w="4410" w:type="dxa"/>
            <w:vAlign w:val="center"/>
          </w:tcPr>
          <w:p w14:paraId="00AD60BB" w14:textId="02F2AE3B" w:rsidR="005E724E" w:rsidRPr="005E724E" w:rsidRDefault="005E724E" w:rsidP="00ED00BE">
            <w:pPr>
              <w:pStyle w:val="p0"/>
              <w:widowControl w:val="0"/>
              <w:spacing w:before="0" w:beforeAutospacing="0" w:after="0" w:afterAutospacing="0"/>
              <w:ind w:left="-15"/>
              <w:jc w:val="both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 xml:space="preserve">Mission </w:t>
            </w:r>
            <w:r w:rsidR="00ED00BE">
              <w:rPr>
                <w:rFonts w:ascii="Cambria" w:hAnsi="Cambria"/>
                <w:sz w:val="22"/>
                <w:szCs w:val="22"/>
              </w:rPr>
              <w:t>is</w:t>
            </w:r>
            <w:r w:rsidRPr="005E724E">
              <w:rPr>
                <w:rFonts w:ascii="Cambria" w:hAnsi="Cambria"/>
                <w:sz w:val="22"/>
                <w:szCs w:val="22"/>
              </w:rPr>
              <w:t xml:space="preserve"> a high </w:t>
            </w:r>
            <w:r w:rsidR="00ED00BE">
              <w:rPr>
                <w:rFonts w:ascii="Cambria" w:hAnsi="Cambria"/>
                <w:sz w:val="22"/>
                <w:szCs w:val="22"/>
              </w:rPr>
              <w:t>level statement.</w:t>
            </w:r>
            <w:r w:rsidRPr="005E724E">
              <w:rPr>
                <w:rFonts w:ascii="Cambria" w:hAnsi="Cambria"/>
                <w:sz w:val="22"/>
                <w:szCs w:val="22"/>
              </w:rPr>
              <w:t xml:space="preserve"> Section 8 covers this aspect in detail.</w:t>
            </w:r>
          </w:p>
        </w:tc>
      </w:tr>
      <w:tr w:rsidR="005E724E" w:rsidRPr="005E724E" w14:paraId="7BE2378A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2A2D9C0A" w14:textId="77777777" w:rsidR="005E724E" w:rsidRPr="005E724E" w:rsidRDefault="005E724E" w:rsidP="005E724E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14:paraId="32C7E823" w14:textId="77777777" w:rsidR="005E724E" w:rsidRPr="005E724E" w:rsidRDefault="005E724E" w:rsidP="005E724E">
            <w:pPr>
              <w:jc w:val="center"/>
              <w:rPr>
                <w:rFonts w:ascii="Cambria" w:hAnsi="Cambria"/>
              </w:rPr>
            </w:pPr>
            <w:r w:rsidRPr="005E724E">
              <w:rPr>
                <w:rFonts w:ascii="Cambria" w:hAnsi="Cambria"/>
              </w:rPr>
              <w:t>9.3</w:t>
            </w:r>
          </w:p>
        </w:tc>
        <w:tc>
          <w:tcPr>
            <w:tcW w:w="4860" w:type="dxa"/>
            <w:vAlign w:val="center"/>
          </w:tcPr>
          <w:p w14:paraId="3A216743" w14:textId="28DECBBC" w:rsidR="005E724E" w:rsidRPr="005E724E" w:rsidRDefault="00755EC3" w:rsidP="00755EC3">
            <w:pPr>
              <w:jc w:val="both"/>
              <w:rPr>
                <w:rFonts w:ascii="Cambria" w:eastAsia="Times New Roman" w:hAnsi="Cambria" w:cs="Arial"/>
                <w:bCs/>
                <w:lang w:val="en-US"/>
              </w:rPr>
            </w:pPr>
            <w:r>
              <w:rPr>
                <w:rFonts w:ascii="Cambria" w:eastAsia="Times New Roman" w:hAnsi="Cambria" w:cs="Arial"/>
                <w:iCs/>
                <w:highlight w:val="yellow"/>
                <w:lang w:val="en-US"/>
              </w:rPr>
              <w:t>Pe</w:t>
            </w:r>
            <w:r w:rsidR="005E724E" w:rsidRPr="00F31641">
              <w:rPr>
                <w:rFonts w:ascii="Cambria" w:eastAsia="Times New Roman" w:hAnsi="Cambria" w:cs="Arial"/>
                <w:iCs/>
                <w:highlight w:val="yellow"/>
                <w:lang w:val="en-US"/>
              </w:rPr>
              <w:t>riod of the Chair’s mandate, as well as the designation process for the Chair</w:t>
            </w:r>
            <w:r w:rsidR="005E724E" w:rsidRPr="005E724E">
              <w:rPr>
                <w:rFonts w:ascii="Cambria" w:eastAsia="Times New Roman" w:hAnsi="Cambria" w:cs="Arial"/>
                <w:iCs/>
                <w:lang w:val="en-US"/>
              </w:rPr>
              <w:t xml:space="preserve"> and the Secretariat.</w:t>
            </w:r>
          </w:p>
        </w:tc>
        <w:tc>
          <w:tcPr>
            <w:tcW w:w="4410" w:type="dxa"/>
            <w:vAlign w:val="center"/>
          </w:tcPr>
          <w:p w14:paraId="2E833DAF" w14:textId="66839595" w:rsidR="005E724E" w:rsidRPr="005E724E" w:rsidRDefault="005E724E" w:rsidP="00ED00BE">
            <w:pPr>
              <w:pStyle w:val="p0"/>
              <w:widowControl w:val="0"/>
              <w:spacing w:before="0" w:beforeAutospacing="0" w:after="0" w:afterAutospacing="0"/>
              <w:ind w:left="-15"/>
              <w:jc w:val="both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>9.3 amended, to link the provisions relating appointment and term of WGITA Chair with the INTOSAI Handbook of Committees.</w:t>
            </w:r>
          </w:p>
        </w:tc>
      </w:tr>
      <w:tr w:rsidR="005E724E" w:rsidRPr="005E724E" w14:paraId="3771FBCC" w14:textId="77777777" w:rsidTr="00CC6813">
        <w:trPr>
          <w:jc w:val="center"/>
        </w:trPr>
        <w:tc>
          <w:tcPr>
            <w:tcW w:w="1165" w:type="dxa"/>
            <w:vMerge/>
            <w:vAlign w:val="center"/>
          </w:tcPr>
          <w:p w14:paraId="3079A896" w14:textId="77777777" w:rsidR="005E724E" w:rsidRPr="005E724E" w:rsidRDefault="005E724E" w:rsidP="005E724E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14:paraId="46455B48" w14:textId="77777777" w:rsidR="005E724E" w:rsidRPr="005E724E" w:rsidRDefault="005E724E" w:rsidP="005E724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60" w:type="dxa"/>
            <w:vAlign w:val="center"/>
          </w:tcPr>
          <w:p w14:paraId="6DCBBC5C" w14:textId="1F38151F" w:rsidR="005E724E" w:rsidRPr="005E724E" w:rsidRDefault="00ED00BE" w:rsidP="00ED00BE">
            <w:pPr>
              <w:jc w:val="both"/>
              <w:rPr>
                <w:rFonts w:ascii="Cambria" w:eastAsia="Times New Roman" w:hAnsi="Cambria" w:cs="Arial"/>
                <w:bCs/>
                <w:lang w:val="en-US"/>
              </w:rPr>
            </w:pPr>
            <w:r>
              <w:rPr>
                <w:rFonts w:ascii="Cambria" w:eastAsia="Times New Roman" w:hAnsi="Cambria" w:cs="Arial"/>
                <w:iCs/>
                <w:lang w:val="en-US"/>
              </w:rPr>
              <w:t>A</w:t>
            </w:r>
            <w:r w:rsidR="005E724E" w:rsidRPr="005E724E">
              <w:rPr>
                <w:rFonts w:ascii="Cambria" w:eastAsia="Times New Roman" w:hAnsi="Cambria" w:cs="Arial"/>
                <w:iCs/>
                <w:lang w:val="en-US"/>
              </w:rPr>
              <w:t xml:space="preserve">dd a section of </w:t>
            </w:r>
            <w:r w:rsidR="005E724E" w:rsidRPr="00803193">
              <w:rPr>
                <w:rFonts w:ascii="Cambria" w:eastAsia="Times New Roman" w:hAnsi="Cambria" w:cs="Arial"/>
                <w:iCs/>
                <w:highlight w:val="yellow"/>
                <w:lang w:val="en-US"/>
              </w:rPr>
              <w:t>guests that explains the role and activities of a guest in a WGITA meeting</w:t>
            </w:r>
            <w:r w:rsidR="005E724E" w:rsidRPr="005E724E">
              <w:rPr>
                <w:rFonts w:ascii="Cambria" w:eastAsia="Times New Roman" w:hAnsi="Cambria" w:cs="Arial"/>
                <w:iCs/>
                <w:lang w:val="en-US"/>
              </w:rPr>
              <w:t xml:space="preserve">. </w:t>
            </w:r>
          </w:p>
        </w:tc>
        <w:tc>
          <w:tcPr>
            <w:tcW w:w="4410" w:type="dxa"/>
            <w:vAlign w:val="center"/>
          </w:tcPr>
          <w:p w14:paraId="3C060225" w14:textId="6A0C66C8" w:rsidR="005E724E" w:rsidRPr="005E724E" w:rsidRDefault="005E724E" w:rsidP="005E724E">
            <w:pPr>
              <w:pStyle w:val="p0"/>
              <w:widowControl w:val="0"/>
              <w:spacing w:before="0" w:beforeAutospacing="0" w:after="0" w:afterAutospacing="0"/>
              <w:ind w:left="-15"/>
              <w:jc w:val="both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>10.6 has been in</w:t>
            </w:r>
            <w:r w:rsidR="00ED00BE">
              <w:rPr>
                <w:rFonts w:ascii="Cambria" w:hAnsi="Cambria"/>
                <w:sz w:val="22"/>
                <w:szCs w:val="22"/>
              </w:rPr>
              <w:t xml:space="preserve">serted </w:t>
            </w:r>
            <w:r w:rsidRPr="005E724E">
              <w:rPr>
                <w:rFonts w:ascii="Cambria" w:hAnsi="Cambria"/>
                <w:sz w:val="22"/>
                <w:szCs w:val="22"/>
              </w:rPr>
              <w:t>as follows:</w:t>
            </w:r>
          </w:p>
          <w:p w14:paraId="4D8D0E7F" w14:textId="77777777" w:rsidR="005E724E" w:rsidRPr="005E724E" w:rsidRDefault="005E724E" w:rsidP="008E4285">
            <w:pPr>
              <w:pStyle w:val="p0"/>
              <w:widowControl w:val="0"/>
              <w:spacing w:before="0" w:beforeAutospacing="0" w:after="0" w:afterAutospacing="0"/>
              <w:ind w:left="-15"/>
              <w:jc w:val="both"/>
              <w:rPr>
                <w:rFonts w:ascii="Cambria" w:hAnsi="Cambria"/>
                <w:sz w:val="22"/>
                <w:szCs w:val="22"/>
              </w:rPr>
            </w:pPr>
            <w:r w:rsidRPr="005E724E">
              <w:rPr>
                <w:rFonts w:ascii="Cambria" w:hAnsi="Cambria"/>
                <w:sz w:val="22"/>
                <w:szCs w:val="22"/>
              </w:rPr>
              <w:t xml:space="preserve">“The Host of the WGITA meeting may also </w:t>
            </w:r>
            <w:r w:rsidR="008E4285">
              <w:rPr>
                <w:rFonts w:ascii="Cambria" w:hAnsi="Cambria"/>
                <w:sz w:val="22"/>
                <w:szCs w:val="22"/>
              </w:rPr>
              <w:t>invite</w:t>
            </w:r>
            <w:r w:rsidRPr="005E724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E4285">
              <w:rPr>
                <w:rFonts w:ascii="Cambria" w:hAnsi="Cambria"/>
                <w:sz w:val="22"/>
                <w:szCs w:val="22"/>
              </w:rPr>
              <w:t>to</w:t>
            </w:r>
            <w:r w:rsidRPr="005E724E">
              <w:rPr>
                <w:rFonts w:ascii="Cambria" w:hAnsi="Cambria"/>
                <w:sz w:val="22"/>
                <w:szCs w:val="22"/>
              </w:rPr>
              <w:t xml:space="preserve"> the Annual Meeting special invitees</w:t>
            </w:r>
            <w:r w:rsidR="008E4285">
              <w:rPr>
                <w:rFonts w:ascii="Cambria" w:hAnsi="Cambria"/>
                <w:sz w:val="22"/>
                <w:szCs w:val="22"/>
              </w:rPr>
              <w:t>,</w:t>
            </w:r>
            <w:r w:rsidRPr="005E724E">
              <w:rPr>
                <w:rFonts w:ascii="Cambria" w:hAnsi="Cambria"/>
                <w:sz w:val="22"/>
                <w:szCs w:val="22"/>
              </w:rPr>
              <w:t xml:space="preserve"> in consultation with WGITA Chair indicating the reasons </w:t>
            </w:r>
            <w:r w:rsidR="008E4285">
              <w:rPr>
                <w:rFonts w:ascii="Cambria" w:hAnsi="Cambria"/>
                <w:sz w:val="22"/>
                <w:szCs w:val="22"/>
              </w:rPr>
              <w:t>for</w:t>
            </w:r>
            <w:r w:rsidRPr="005E724E">
              <w:rPr>
                <w:rFonts w:ascii="Cambria" w:hAnsi="Cambria"/>
                <w:sz w:val="22"/>
                <w:szCs w:val="22"/>
              </w:rPr>
              <w:t xml:space="preserve"> such invitation. Such special invitees will participate in the meeting as an observer.”</w:t>
            </w:r>
          </w:p>
        </w:tc>
      </w:tr>
    </w:tbl>
    <w:p w14:paraId="2AD59CE6" w14:textId="77777777" w:rsidR="006618E8" w:rsidRPr="005E724E" w:rsidRDefault="006618E8" w:rsidP="00262058">
      <w:pPr>
        <w:spacing w:before="100" w:beforeAutospacing="1" w:after="0" w:line="240" w:lineRule="auto"/>
        <w:jc w:val="both"/>
        <w:rPr>
          <w:rFonts w:ascii="Cambria" w:hAnsi="Cambria"/>
          <w:lang w:val="en-IN"/>
        </w:rPr>
      </w:pPr>
    </w:p>
    <w:sectPr w:rsidR="006618E8" w:rsidRPr="005E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0EB"/>
    <w:multiLevelType w:val="multilevel"/>
    <w:tmpl w:val="69320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B10356"/>
    <w:multiLevelType w:val="multilevel"/>
    <w:tmpl w:val="F51840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C52D6F"/>
    <w:multiLevelType w:val="multilevel"/>
    <w:tmpl w:val="E4D4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ECB5270"/>
    <w:multiLevelType w:val="multilevel"/>
    <w:tmpl w:val="D5D4BF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7A27C37"/>
    <w:multiLevelType w:val="hybridMultilevel"/>
    <w:tmpl w:val="9438A654"/>
    <w:lvl w:ilvl="0" w:tplc="CFBCF18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73C51D95"/>
    <w:multiLevelType w:val="hybridMultilevel"/>
    <w:tmpl w:val="CADE2332"/>
    <w:lvl w:ilvl="0" w:tplc="726ADA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04"/>
    <w:rsid w:val="00014B35"/>
    <w:rsid w:val="00057D16"/>
    <w:rsid w:val="000D1E61"/>
    <w:rsid w:val="00112784"/>
    <w:rsid w:val="00123508"/>
    <w:rsid w:val="001238BD"/>
    <w:rsid w:val="00172FA3"/>
    <w:rsid w:val="00262058"/>
    <w:rsid w:val="00271404"/>
    <w:rsid w:val="002E5A28"/>
    <w:rsid w:val="00346522"/>
    <w:rsid w:val="003A3967"/>
    <w:rsid w:val="003E1AEB"/>
    <w:rsid w:val="00406F74"/>
    <w:rsid w:val="00456646"/>
    <w:rsid w:val="00493A6F"/>
    <w:rsid w:val="00493ED4"/>
    <w:rsid w:val="004A61F0"/>
    <w:rsid w:val="004F43CA"/>
    <w:rsid w:val="00517D29"/>
    <w:rsid w:val="005916A7"/>
    <w:rsid w:val="0059779C"/>
    <w:rsid w:val="005B1697"/>
    <w:rsid w:val="005E724E"/>
    <w:rsid w:val="006618E8"/>
    <w:rsid w:val="006C0B15"/>
    <w:rsid w:val="006E1532"/>
    <w:rsid w:val="00755EC3"/>
    <w:rsid w:val="007647CE"/>
    <w:rsid w:val="00791FBA"/>
    <w:rsid w:val="007F121A"/>
    <w:rsid w:val="007F7D46"/>
    <w:rsid w:val="00803193"/>
    <w:rsid w:val="0084189F"/>
    <w:rsid w:val="0088330E"/>
    <w:rsid w:val="008E4285"/>
    <w:rsid w:val="00916573"/>
    <w:rsid w:val="00953FB9"/>
    <w:rsid w:val="00973538"/>
    <w:rsid w:val="00A908DB"/>
    <w:rsid w:val="00AC6080"/>
    <w:rsid w:val="00AE0867"/>
    <w:rsid w:val="00BC5935"/>
    <w:rsid w:val="00BD004B"/>
    <w:rsid w:val="00BE5B35"/>
    <w:rsid w:val="00C96274"/>
    <w:rsid w:val="00CC6813"/>
    <w:rsid w:val="00D343FF"/>
    <w:rsid w:val="00DB2B66"/>
    <w:rsid w:val="00DC429A"/>
    <w:rsid w:val="00E26D7A"/>
    <w:rsid w:val="00E80633"/>
    <w:rsid w:val="00ED00BE"/>
    <w:rsid w:val="00F31641"/>
    <w:rsid w:val="00F322C6"/>
    <w:rsid w:val="00FA0976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5DD3"/>
  <w15:chartTrackingRefBased/>
  <w15:docId w15:val="{65C69DC7-4DDB-46EF-B595-8AD24BC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404"/>
    <w:pPr>
      <w:spacing w:after="160" w:line="240" w:lineRule="auto"/>
    </w:pPr>
    <w:rPr>
      <w:sz w:val="20"/>
      <w:szCs w:val="18"/>
      <w:lang w:val="en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404"/>
    <w:rPr>
      <w:sz w:val="20"/>
      <w:szCs w:val="18"/>
      <w:lang w:val="en-IN" w:bidi="hi-IN"/>
    </w:rPr>
  </w:style>
  <w:style w:type="paragraph" w:styleId="ListParagraph">
    <w:name w:val="List Paragraph"/>
    <w:basedOn w:val="Normal"/>
    <w:uiPriority w:val="34"/>
    <w:qFormat/>
    <w:rsid w:val="0027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71404"/>
    <w:rPr>
      <w:color w:val="0000FF"/>
      <w:u w:val="single"/>
    </w:rPr>
  </w:style>
  <w:style w:type="paragraph" w:customStyle="1" w:styleId="p0">
    <w:name w:val="p0"/>
    <w:basedOn w:val="Normal"/>
    <w:rsid w:val="0066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table" w:styleId="TableGrid">
    <w:name w:val="Table Grid"/>
    <w:basedOn w:val="TableNormal"/>
    <w:uiPriority w:val="39"/>
    <w:rsid w:val="00DC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B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07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3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3008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03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8455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927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07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Dell</cp:lastModifiedBy>
  <cp:revision>17</cp:revision>
  <cp:lastPrinted>2019-03-30T08:15:00Z</cp:lastPrinted>
  <dcterms:created xsi:type="dcterms:W3CDTF">2019-03-14T04:37:00Z</dcterms:created>
  <dcterms:modified xsi:type="dcterms:W3CDTF">2019-03-30T09:10:00Z</dcterms:modified>
</cp:coreProperties>
</file>